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9360"/>
      </w:tblGrid>
      <w:tr w:rsidR="00E945DA" w:rsidTr="00E945DA">
        <w:trPr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Borders>
                <w:top w:val="threeDEngrave" w:sz="6" w:space="0" w:color="D62270"/>
                <w:left w:val="threeDEngrave" w:sz="6" w:space="0" w:color="D62270"/>
                <w:bottom w:val="threeDEngrave" w:sz="6" w:space="0" w:color="D62270"/>
                <w:right w:val="threeDEngrave" w:sz="6" w:space="0" w:color="D6227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D62270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26ABE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26ABE2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instrText xml:space="preserve"> HYPERLINK "https://mailchi.mp/2b8372489d86/petrece-4-zile-magnifice-la-istanbul-vacana-de-vis-pentru-tine-si-cei-dragi-315247?e=04878ab19f"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View this email in your browser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DDDDDD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866900" cy="959524"/>
                                                <wp:effectExtent l="0" t="0" r="0" b="0"/>
                                                <wp:docPr id="10" name="Picture 9" descr="royaltravel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royaltravel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866900" cy="95952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96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color w:val="D62270"/>
                                            </w:rPr>
                                            <w:t xml:space="preserve">ROYAL TRAVEL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</w:rPr>
                                            <w:t>Tel.: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 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>0742027031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D62270"/>
                                            </w:rPr>
                                            <w:t xml:space="preserve"> Mobil: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color w:val="D62270"/>
                                            </w:rPr>
                                            <w:t> 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</w:rPr>
                                            <w:t>0764375260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  <w:t>Adresa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 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Str. Pitesti , nr.18 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Style w:val="postal-code"/>
                                            </w:rPr>
                                          </w:pPr>
                                          <w:r w:rsidRPr="00E945DA">
                                            <w:rPr>
                                              <w:rStyle w:val="postal-code"/>
                                            </w:rPr>
                                            <w:t xml:space="preserve">Cluj Napoca 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Romania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mboss" w:sz="6" w:space="0" w:color="5DE9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Borders>
                                      <w:top w:val="threeDEmboss" w:sz="6" w:space="0" w:color="5DE9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nil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CECECE"/>
                    </w:tblBorders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 w:rsidTr="00E945DA">
                    <w:trPr>
                      <w:trHeight w:val="57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CECECE"/>
                          <w:right w:val="nil"/>
                        </w:tcBorders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Default="00E945DA" w:rsidP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             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vizualizati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pachetele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noastre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         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http://www.royal-travel.ro/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pStyle w:val="Heading1"/>
                                            <w:jc w:val="center"/>
                                            <w:rPr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</w:pPr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 xml:space="preserve">    Circuit cultural </w:t>
                                          </w:r>
                                          <w:r w:rsidRPr="00E945DA"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  <w:bCs/>
                                              <w:color w:val="auto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 xml:space="preserve">  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>Alpii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ascii="Times New Roman" w:eastAsia="Times New Roman" w:hAnsi="Times New Roman"/>
                                              <w:color w:val="auto"/>
                                            </w:rPr>
                                            <w:t>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Surprindeti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Alpii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&amp;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Elveția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acoperișul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Europei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tinutul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Wilhelm Tell,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Materhornul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ciocolata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Tobleronne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ceasurile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celebrii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St.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Bernarzi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,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peisajele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sfideaza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cliseele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multe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locuri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încântă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turisti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"/>
                                <w:gridCol w:w="8992"/>
                              </w:tblGrid>
                              <w:tr w:rsidR="00E945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2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858" w:type="pct"/>
                                            <w:shd w:val="clear" w:color="auto" w:fill="93ECF8"/>
                                            <w:tblLook w:val="04A0"/>
                                          </w:tblPr>
                                          <w:tblGrid>
                                            <w:gridCol w:w="8212"/>
                                          </w:tblGrid>
                                          <w:tr w:rsidR="00E945DA" w:rsidTr="00E945DA">
                                            <w:trPr>
                                              <w:trHeight w:val="1562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3ECF8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E945DA" w:rsidRPr="00E945DA" w:rsidRDefault="00E945DA" w:rsidP="00E945D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Tarif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: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48"/>
                                                    <w:szCs w:val="48"/>
                                                  </w:rPr>
                                                  <w:t>520 Euro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pers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in 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Dbl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/ 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Twin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br/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br/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9"/>
                                                    <w:szCs w:val="29"/>
                                                  </w:rPr>
                                                  <w:br/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          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Plecare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0"/>
                                                    <w:szCs w:val="30"/>
                                                  </w:rPr>
                                                  <w:t>: 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1 </w:t>
                                                </w:r>
                                                <w:proofErr w:type="spellStart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>iulie</w:t>
                                                </w:r>
                                                <w:proofErr w:type="spellEnd"/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2019</w:t>
                                                </w:r>
                                                <w:r w:rsidRPr="00E945DA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945DA" w:rsidRDefault="00E945D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 w:rsidRP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 w:rsidRP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Atractii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: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Atractii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Viena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Defileul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Dunarii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Krems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Melk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Berchtesgadener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Cuibul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vulturi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,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Lacul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Como, Milano, Zermatt,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Montreux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Laussane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Geneva,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Berna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Basel,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Lucerna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Zurich,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Cascada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Rinului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St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Gallen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Vaduz,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Wattens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Villach,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Klagenfrut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 xml:space="preserve">Graz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multe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atractii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....!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Bonus: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Martigny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 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ferma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>canina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rFonts w:eastAsia="Times New Roman"/>
                                              <w:b/>
                                              <w:bCs/>
                                              <w:i w:val="0"/>
                                              <w:sz w:val="22"/>
                                              <w:szCs w:val="22"/>
                                            </w:rPr>
                                            <w:t xml:space="preserve"> St. Bernard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aflam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povestea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celebrilor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caini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  <w:t>salvamontisti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Pr="00E945DA" w:rsidRDefault="00E945DA">
                              <w:pPr>
                                <w:rPr>
                                  <w:rFonts w:eastAsia="Times New Roman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410075" cy="2478712"/>
                                          <wp:effectExtent l="19050" t="0" r="9525" b="0"/>
                                          <wp:docPr id="2" name="Picture 2" descr="https://gallery.mailchimp.com/eddc0b7ea65fcc8e5340e0d32/images/32d8fdc0-e035-46f3-8b51-b4fdcd28f3d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eddc0b7ea65fcc8e5340e0d32/images/32d8fdc0-e035-46f3-8b51-b4fdcd28f3d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10075" cy="24787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657600" cy="2743200"/>
                                          <wp:effectExtent l="19050" t="0" r="0" b="0"/>
                                          <wp:docPr id="3" name="Picture 3" descr="https://gallery.mailchimp.com/eddc0b7ea65fcc8e5340e0d32/images/3eb82b6a-5062-4ec7-a198-cb0108c187f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eddc0b7ea65fcc8e5340e0d32/images/3eb82b6a-5062-4ec7-a198-cb0108c187f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60354" cy="27452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 w:rsidRP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E945DA" w:rsidRPr="00E945DA" w:rsidRDefault="00E945D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1. BUCURESTI – GYOR ( 940 Km 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Intalnire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05.45,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06.00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Bucuresti – Pitesti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Budapesta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>Gyor.Cazare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Gyor.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2. GYOR – VIENA – KREMS – MELK – SALZBURG ( 456 km 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Viena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panoramic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autocarul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Ringul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Vienez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Observatorul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astronomic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Urania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Ministerul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Razboi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Posta, Opera,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Hofburg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Parlamentul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Universitatea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Bursa si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Coloana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Trinitatii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Bis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. Sf. Petru,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veche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comerciala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Kartnerstrasse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Stefan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Continuam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excursia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viticola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Wachau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acesteia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Krems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invitam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o 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cladirile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vechi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pitoresti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Sfantul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Stefan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Parohiala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Veit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  Optional,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propunem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vaporul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(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27 Euro)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surprinde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peisajele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inedite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Wachau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de-a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lungul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dunarii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abatia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Benedictina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Melk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Mondsee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sosire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Salzburg,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granita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Bavaria.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3. BERCHTESGADENER - LINDENHOF – INNSBRUCK – BRENNER ( 450 Km 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Alpii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Bavariei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Berchtesgadener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Kehlsteinhaus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Cuibul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Vulturi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,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resedinta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preferata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Hitler,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ofera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panorama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superba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asupra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Alpilor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si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Koningsee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Linderhof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realizat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sugestiile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Ludwig al II lea.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casele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pictate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exterior cu scene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povesti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Oberrammergau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ajungem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Tirolului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sporturilor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iarna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–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Innsbruck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ii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descoperim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sarmul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imperial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Imperial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Hofburg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Acoperisul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Iacob,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Helblinghaus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Brenner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,  hotel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3*.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4. BRENER – COMO – MILANO – VARESE (450km)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Lombardia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traversand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inalt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pod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rutier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Europa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peste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stramtoarea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Brenner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asistand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adevarat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spectacol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Alpilor.Vom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poposi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financiara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Italiei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designeri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Milano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care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Castelul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Sfortesco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Galeriile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Vittorio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Emanuelle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Teatrul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Scala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intreptam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frumos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glaciar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Italiei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Lacul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Como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facem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matasii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promenada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Lungalago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portul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monumentul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alessandro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Volta,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Cavour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Varese.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5. ZERMATT – MATTERHORN – MONTREUX – LAUSSANE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„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cantoanelor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”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merge in mica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Tasch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Optional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merge la Zermatt,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renumita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statiune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situata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poalele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Matherhorn-ului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 in Zermatt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vehiculele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motor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sunt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interzise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portiunea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Tasch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Zermatt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parcurge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trenul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</w:p>
                                        <w:p w:rsidR="00571ADC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16 euro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dus-intors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cadrul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careia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masiv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Matterhorn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sursa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inspiratie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designul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ciocolatei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Toblerronne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).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</w:p>
                                        <w:p w:rsidR="00571ADC" w:rsidRDefault="00571ADC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indrepta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de-a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lungul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Geneva,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‘Perla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Rivierei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Elvetiene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’-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orasul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statiune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Montreux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castelul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Chillon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celebru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ales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datorita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poemului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lordului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Byron, 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‘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Prizonierul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Chillon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sz w:val="22"/>
                                              <w:szCs w:val="22"/>
                                            </w:rPr>
                                            <w:t>’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Bonneville.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6.  CHAMONIX – MONT BLANC – GENEVA (166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Dimineata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optional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excursie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Chamonix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(25 Euro)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urca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daca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timpul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permite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Varful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Aiguile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du Midi (3842 m)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apropiere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Mont Blanc si a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incanta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sufletele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cocheta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statiune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montana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Dupa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amiaza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Geneva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pornim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Jet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D’Eau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Ceasul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Flori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podul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Mont Blanc,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continuam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Petru,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Maison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Travel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incheiem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timp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liber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importanta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comerciala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Bonneville.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7.  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Laussane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BERNA – BASEL (420km)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„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gnomilor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bancari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” si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ciocolatei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En route,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face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jocurilor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olimpice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Laussane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Apio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ajungem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Sf.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Vizenz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Gradina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Trandafirilor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Valea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Aar,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Palatul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Parlamentului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(exterior),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Ceas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casa Einstein,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Groapa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Ursilor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(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simbolul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orasului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sosim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Basel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ceasurilor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vechi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Munster,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Marktplaz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Spalentor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Mulhouse.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8 LUCERNA – ZURICH – CASCADA RINULUI – ST GALLEN – VADUZ (470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turistica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-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Lucerna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Podul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Capelei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Veche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Biserica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Franciscana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poposi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financiara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Zurich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face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Grossmunster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),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Maicii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Domnului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Fraumunster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),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Turnul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artera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comerciala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Bahnhofstrasse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Deplasare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spectaculoasele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caderi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– </w:t>
                                          </w: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Cascadel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Rinului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imortaliza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acel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fenomen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naturii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En route,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Abatia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benedictina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Sankt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Gallen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frumoasa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elvetia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patrimoniul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UNESCO.Seara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indreptam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Liechenstein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scurta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oprire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mica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Vaduz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in Tirol.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9.  WATTENS – VILLACH – KLAGENFURT – GRAZ ( 499 km)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descoperi</w:t>
                                          </w:r>
                                          <w:proofErr w:type="spellEnd"/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lumea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Swarovsky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localitatea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Wattens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indreptam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Carinthia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cunoscuta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sub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denumirea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„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zambetul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Austriei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datorita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peisajelor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montane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farmecul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lacurilor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glaciare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face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insuperbele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mediavele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imperial 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Villach </w:t>
                                          </w:r>
                                        </w:p>
                                        <w:p w:rsid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71ADC" w:rsidRDefault="00571ADC">
                                          <w:pPr>
                                            <w:spacing w:before="150" w:after="150" w:line="300" w:lineRule="auto"/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gram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si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Klagenfurt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hotel 3*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zona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Graz.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10 GRAZ – KECSKEMET (426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Plimbare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pietonala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capitala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Styriei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-  </w:t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Graz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centrul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istoric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admira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Catedrala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Piata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Hauptplatz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Primaria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Ungaria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scurt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popas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malul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lacului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Balaton.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vedea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Pusta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Maghiara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si optional,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vizita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herghelia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Biczo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Csarda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intampinati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palinca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traditionalele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"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Langos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”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unguresti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proaspat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scoase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cuptor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smantana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ceapa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mujdei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Ne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deplasa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carutele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amfiteatrul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pustei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8-10 minute)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unde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asista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un program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echitatie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aproximativ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incluzand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exercitii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dresura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tinute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haiducesti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, etc.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servi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apoi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campeneasca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foarte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bogata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complexul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Biczo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Csarda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Ziua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11 KECSKEMET – BUCURESTI (750 km)</w:t>
                                          </w:r>
                                        </w:p>
                                        <w:p w:rsidR="00E945DA" w:rsidRPr="00E945DA" w:rsidRDefault="00E945DA">
                                          <w:pPr>
                                            <w:spacing w:before="150" w:after="150" w:line="300" w:lineRule="auto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Plecare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spre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Bucuresti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traseul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Timisoara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Deva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Sibiu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Rm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Valcea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– Pitesti.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39460" cy="3171183"/>
                                          <wp:effectExtent l="19050" t="0" r="0" b="0"/>
                                          <wp:docPr id="4" name="Picture 4" descr="https://gallery.mailchimp.com/eddc0b7ea65fcc8e5340e0d32/images/c345bab6-cf3e-4091-a8a7-44419199626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eddc0b7ea65fcc8e5340e0d32/images/c345bab6-cf3e-4091-a8a7-44419199626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43243" cy="317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860799" cy="2895600"/>
                                          <wp:effectExtent l="19050" t="0" r="6351" b="0"/>
                                          <wp:docPr id="5" name="Picture 5" descr="https://gallery.mailchimp.com/eddc0b7ea65fcc8e5340e0d32/images/5273522a-de69-4561-9f61-e9af43c40c79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eddc0b7ea65fcc8e5340e0d32/images/5273522a-de69-4561-9f61-e9af43c40c79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60799" cy="2895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E945DA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include: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945DA" w:rsidRPr="00E945DA" w:rsidRDefault="00E945DA" w:rsidP="00D1305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· transport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international*;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10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dejun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hotel de 3* si complex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Biczo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Csarda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Ungaria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cuprinse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program;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agentiei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are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dreptul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oferi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explicatii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strainatate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</w:tblGrid>
                                    <w:tr w:rsidR="00E945DA" w:rsidRP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Pr="00E945DA" w:rsidRDefault="00E945DA">
                                          <w:pPr>
                                            <w:spacing w:line="360" w:lineRule="auto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include: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945DA" w:rsidRPr="00E945DA" w:rsidRDefault="00E945DA" w:rsidP="00D1305B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asigurari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storno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medicala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·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intrarile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 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serviciile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local –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20 euro/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cerere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Style w:val="Strong"/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·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excursiile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optionale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traditionala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ungureasca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un local cu specific (35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eur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).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Croaziera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defileul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Dunarii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Krems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Melk</w:t>
                                          </w:r>
                                          <w:proofErr w:type="spellEnd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 26 Euro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Linderhof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 10 Euro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Trenul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cremaliera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Tasch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– Zermatt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15 CHF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intors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Excursie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optionala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Chamonix 25 Euro;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Telecabina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dus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intors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Aiguille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du Midi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67 Euro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Bilet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intrare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Castel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Chillon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aprox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10 Euro;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Supliment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single – 190 Euro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Pr="00E945DA" w:rsidRDefault="00E945DA">
                                    <w:pP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E945DA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este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calculat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minim 35 pers.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35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persoane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achita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diferenta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30euro/pers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Repartitia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se face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catre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receptia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hotelului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triple pot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: cu 3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 2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acelasi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fel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pliant; un pat matrimonial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pliant.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Structura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camerelor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triple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numai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locului</w:t>
                                          </w:r>
                                          <w:proofErr w:type="spellEnd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;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Unitatile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sunt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conform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normelor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clasificare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locale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Deoarece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legislatia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permite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decat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aceste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)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ghideze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muzee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la 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celelalte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roman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face o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prezentare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autocar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Conducatorul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modifica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anumite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conditii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urmand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sfarsitul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excursiei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efectueze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integralitatea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 ;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cazul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nerealizarii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grupului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minim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anulat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modificat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avand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posibilitatea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alege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participarea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initial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mutarea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alt program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·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insotitor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modifica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ordinea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precum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ordinea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zilelor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dar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afecta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structura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programului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eventualitatea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care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conditiile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meteorologice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nu permit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vizitarea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unui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din program,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acesta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va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inlocuit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anulat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·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ghidaj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interiorul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obiectivelor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teritoriul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Romaniei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strainatate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pot  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solicita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serviciile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ghizilor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locali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poate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genera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costuri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suplimentare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fiecare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tara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sau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oras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.</w:t>
                                          </w:r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 xml:space="preserve">·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Pentru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inscrierile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programele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AUTOCAR se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achita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avans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de 50 Euro/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persoana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, 50% din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pachetul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turistic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cu 60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inaintea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si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diferenta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pana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la 100% cu 30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zile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inaintea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>plecarii</w:t>
                                          </w:r>
                                          <w:proofErr w:type="spellEnd"/>
                                          <w:r w:rsidRPr="00E945DA">
                                            <w:rPr>
                                              <w:rFonts w:eastAsia="Times New Roman"/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8"/>
                                <w:gridCol w:w="8902"/>
                              </w:tblGrid>
                              <w:tr w:rsidR="00E945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02"/>
                                    </w:tblGrid>
                                    <w:tr w:rsidR="00E945D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945DA" w:rsidRDefault="00E945D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945DA" w:rsidRDefault="00E945D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E945D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p w:rsidR="00E945DA" w:rsidRDefault="00E945D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45DA" w:rsidRDefault="00E945D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945D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E945DA" w:rsidRDefault="00E945D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945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reeDEngrave" w:sz="6" w:space="0" w:color="D62270"/>
                    <w:bottom w:val="threeDEngrave" w:sz="6" w:space="0" w:color="D62270"/>
                    <w:right w:val="threeDEngrave" w:sz="6" w:space="0" w:color="D62270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5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45D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5EEEE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E945DA" w:rsidRDefault="00E945D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45DA" w:rsidRDefault="00E945D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945DA" w:rsidRDefault="00E945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945DA" w:rsidRDefault="00E945DA" w:rsidP="00E945DA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19050" t="0" r="9525" b="0"/>
            <wp:docPr id="9" name="Picture 9" descr="https://starholiday.us18.list-manage.com/track/open.php?u=eddc0b7ea65fcc8e5340e0d32&amp;id=dfc6083784&amp;e=04878ab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rholiday.us18.list-manage.com/track/open.php?u=eddc0b7ea65fcc8e5340e0d32&amp;id=dfc6083784&amp;e=04878ab19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7C0"/>
    <w:multiLevelType w:val="multilevel"/>
    <w:tmpl w:val="E0F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300"/>
    <w:multiLevelType w:val="multilevel"/>
    <w:tmpl w:val="956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DA"/>
    <w:rsid w:val="00571ADC"/>
    <w:rsid w:val="00574D1B"/>
    <w:rsid w:val="006977C0"/>
    <w:rsid w:val="007E04EA"/>
    <w:rsid w:val="00A85E68"/>
    <w:rsid w:val="00D0789A"/>
    <w:rsid w:val="00E9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45DA"/>
    <w:pPr>
      <w:spacing w:line="300" w:lineRule="auto"/>
      <w:outlineLvl w:val="0"/>
    </w:pPr>
    <w:rPr>
      <w:rFonts w:ascii="Georgia" w:hAnsi="Georgia"/>
      <w:color w:val="26ABE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5DA"/>
    <w:rPr>
      <w:rFonts w:ascii="Georgia" w:hAnsi="Georgia" w:cs="Times New Roman"/>
      <w:color w:val="26ABE2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945DA"/>
    <w:rPr>
      <w:color w:val="0000FF"/>
      <w:u w:val="single"/>
    </w:rPr>
  </w:style>
  <w:style w:type="character" w:customStyle="1" w:styleId="locality">
    <w:name w:val="locality"/>
    <w:basedOn w:val="DefaultParagraphFont"/>
    <w:rsid w:val="00E945DA"/>
  </w:style>
  <w:style w:type="character" w:customStyle="1" w:styleId="postal-code">
    <w:name w:val="postal-code"/>
    <w:basedOn w:val="DefaultParagraphFont"/>
    <w:rsid w:val="00E945DA"/>
  </w:style>
  <w:style w:type="character" w:customStyle="1" w:styleId="org">
    <w:name w:val="org"/>
    <w:basedOn w:val="DefaultParagraphFont"/>
    <w:rsid w:val="00E945DA"/>
  </w:style>
  <w:style w:type="character" w:styleId="Strong">
    <w:name w:val="Strong"/>
    <w:basedOn w:val="DefaultParagraphFont"/>
    <w:uiPriority w:val="22"/>
    <w:qFormat/>
    <w:rsid w:val="00E945DA"/>
    <w:rPr>
      <w:b/>
      <w:bCs/>
    </w:rPr>
  </w:style>
  <w:style w:type="character" w:styleId="Emphasis">
    <w:name w:val="Emphasis"/>
    <w:basedOn w:val="DefaultParagraphFont"/>
    <w:uiPriority w:val="20"/>
    <w:qFormat/>
    <w:rsid w:val="00E945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-travel.ro/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2019-04-10T09:40:00Z</dcterms:created>
  <dcterms:modified xsi:type="dcterms:W3CDTF">2019-04-10T09:53:00Z</dcterms:modified>
</cp:coreProperties>
</file>